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C811" w14:textId="77777777" w:rsidR="00DF27FD" w:rsidRDefault="00DF27FD">
      <w:pPr>
        <w:spacing w:before="5" w:line="130" w:lineRule="exact"/>
        <w:rPr>
          <w:sz w:val="13"/>
          <w:szCs w:val="13"/>
        </w:rPr>
      </w:pPr>
    </w:p>
    <w:p w14:paraId="55A2FE5B" w14:textId="77777777" w:rsidR="00DF27FD" w:rsidRDefault="00DF27FD">
      <w:pPr>
        <w:spacing w:line="200" w:lineRule="exact"/>
        <w:rPr>
          <w:sz w:val="20"/>
          <w:szCs w:val="20"/>
        </w:rPr>
      </w:pPr>
    </w:p>
    <w:p w14:paraId="6904BC27" w14:textId="77777777" w:rsidR="00DF27FD" w:rsidRDefault="00DF27FD">
      <w:pPr>
        <w:spacing w:line="200" w:lineRule="exact"/>
        <w:rPr>
          <w:sz w:val="20"/>
          <w:szCs w:val="20"/>
        </w:rPr>
      </w:pPr>
    </w:p>
    <w:p w14:paraId="75B30EDD" w14:textId="77777777" w:rsidR="00DF27FD" w:rsidRDefault="00D253AE">
      <w:pPr>
        <w:pStyle w:val="a3"/>
        <w:ind w:left="240"/>
        <w:rPr>
          <w:lang w:eastAsia="zh-CN"/>
        </w:rPr>
      </w:pPr>
      <w:r>
        <w:rPr>
          <w:lang w:eastAsia="zh-CN"/>
        </w:rPr>
        <w:t>亲爱的老师：</w:t>
      </w:r>
    </w:p>
    <w:p w14:paraId="714E274C" w14:textId="77777777" w:rsidR="00DF27FD" w:rsidRDefault="00D253AE">
      <w:pPr>
        <w:spacing w:line="467" w:lineRule="exact"/>
        <w:ind w:left="240"/>
        <w:rPr>
          <w:rFonts w:ascii="仿宋" w:eastAsia="仿宋" w:hAnsi="仿宋" w:cs="仿宋"/>
          <w:sz w:val="36"/>
          <w:szCs w:val="36"/>
          <w:lang w:eastAsia="zh-CN"/>
        </w:rPr>
      </w:pPr>
      <w:r>
        <w:rPr>
          <w:lang w:eastAsia="zh-CN"/>
        </w:rPr>
        <w:br w:type="column"/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电子</w:t>
      </w:r>
      <w:r>
        <w:rPr>
          <w:rFonts w:ascii="仿宋" w:eastAsia="仿宋" w:hAnsi="仿宋" w:cs="仿宋"/>
          <w:sz w:val="36"/>
          <w:szCs w:val="36"/>
          <w:lang w:eastAsia="zh-CN"/>
        </w:rPr>
        <w:t>科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技大</w:t>
      </w:r>
      <w:r>
        <w:rPr>
          <w:rFonts w:ascii="仿宋" w:eastAsia="仿宋" w:hAnsi="仿宋" w:cs="仿宋"/>
          <w:sz w:val="36"/>
          <w:szCs w:val="36"/>
          <w:lang w:eastAsia="zh-CN"/>
        </w:rPr>
        <w:t>学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成都</w:t>
      </w:r>
      <w:r>
        <w:rPr>
          <w:rFonts w:ascii="仿宋" w:eastAsia="仿宋" w:hAnsi="仿宋" w:cs="仿宋"/>
          <w:sz w:val="36"/>
          <w:szCs w:val="36"/>
          <w:lang w:eastAsia="zh-CN"/>
        </w:rPr>
        <w:t>学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院新</w:t>
      </w:r>
      <w:r>
        <w:rPr>
          <w:rFonts w:ascii="仿宋" w:eastAsia="仿宋" w:hAnsi="仿宋" w:cs="仿宋"/>
          <w:sz w:val="36"/>
          <w:szCs w:val="36"/>
          <w:lang w:eastAsia="zh-CN"/>
        </w:rPr>
        <w:t>入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职教</w:t>
      </w:r>
      <w:r>
        <w:rPr>
          <w:rFonts w:ascii="仿宋" w:eastAsia="仿宋" w:hAnsi="仿宋" w:cs="仿宋"/>
          <w:sz w:val="36"/>
          <w:szCs w:val="36"/>
          <w:lang w:eastAsia="zh-CN"/>
        </w:rPr>
        <w:t>职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工参</w:t>
      </w:r>
      <w:r>
        <w:rPr>
          <w:rFonts w:ascii="仿宋" w:eastAsia="仿宋" w:hAnsi="仿宋" w:cs="仿宋"/>
          <w:sz w:val="36"/>
          <w:szCs w:val="36"/>
          <w:lang w:eastAsia="zh-CN"/>
        </w:rPr>
        <w:t>考</w:t>
      </w:r>
      <w:r>
        <w:rPr>
          <w:rFonts w:ascii="仿宋" w:eastAsia="仿宋" w:hAnsi="仿宋" w:cs="仿宋"/>
          <w:spacing w:val="2"/>
          <w:sz w:val="36"/>
          <w:szCs w:val="36"/>
          <w:lang w:eastAsia="zh-CN"/>
        </w:rPr>
        <w:t>手</w:t>
      </w:r>
      <w:r>
        <w:rPr>
          <w:rFonts w:ascii="仿宋" w:eastAsia="仿宋" w:hAnsi="仿宋" w:cs="仿宋"/>
          <w:sz w:val="36"/>
          <w:szCs w:val="36"/>
          <w:lang w:eastAsia="zh-CN"/>
        </w:rPr>
        <w:t>册</w:t>
      </w:r>
    </w:p>
    <w:p w14:paraId="5E4687EB" w14:textId="77777777" w:rsidR="00DF27FD" w:rsidRDefault="00DF27FD">
      <w:pPr>
        <w:spacing w:line="467" w:lineRule="exact"/>
        <w:rPr>
          <w:rFonts w:ascii="仿宋" w:eastAsia="仿宋" w:hAnsi="仿宋" w:cs="仿宋"/>
          <w:sz w:val="36"/>
          <w:szCs w:val="36"/>
          <w:lang w:eastAsia="zh-CN"/>
        </w:rPr>
        <w:sectPr w:rsidR="00DF27FD">
          <w:type w:val="continuous"/>
          <w:pgSz w:w="16839" w:h="11920" w:orient="landscape"/>
          <w:pgMar w:top="660" w:right="480" w:bottom="280" w:left="480" w:header="720" w:footer="720" w:gutter="0"/>
          <w:cols w:num="2" w:space="720" w:equalWidth="0">
            <w:col w:w="1681" w:space="2402"/>
            <w:col w:w="11796"/>
          </w:cols>
        </w:sectPr>
      </w:pPr>
    </w:p>
    <w:p w14:paraId="471E5207" w14:textId="77777777" w:rsidR="00D253AE" w:rsidRDefault="00D253AE">
      <w:pPr>
        <w:pStyle w:val="a3"/>
        <w:spacing w:before="51" w:line="253" w:lineRule="auto"/>
        <w:ind w:left="660" w:right="8497"/>
        <w:rPr>
          <w:lang w:eastAsia="zh-CN"/>
        </w:rPr>
      </w:pPr>
      <w:r>
        <w:pict w14:anchorId="1E77C4EE">
          <v:group id="_x0000_s1144" style="position:absolute;left:0;text-align:left;margin-left:245.55pt;margin-top:297.45pt;width:36pt;height:15.6pt;z-index:-251683328;mso-position-horizontal-relative:page;mso-position-vertical-relative:page" coordorigin="4911,5949" coordsize="720,312">
            <v:shape id="_x0000_s1145" style="position:absolute;left:4911;top:5949;width:720;height:312" coordorigin="4911,5949" coordsize="720,312" path="m4911,6261r720,l5631,5949r-720,l4911,6261xe" fillcolor="#d9d9d9" stroked="f">
              <v:path arrowok="t"/>
            </v:shape>
            <w10:wrap anchorx="page" anchory="page"/>
          </v:group>
        </w:pict>
      </w:r>
      <w:r>
        <w:pict w14:anchorId="73CAB274">
          <v:group id="_x0000_s1142" style="position:absolute;left:0;text-align:left;margin-left:209.55pt;margin-top:334.85pt;width:48pt;height:15.6pt;z-index:-251682304;mso-position-horizontal-relative:page;mso-position-vertical-relative:page" coordorigin="4191,6697" coordsize="960,312">
            <v:shape id="_x0000_s1143" style="position:absolute;left:4191;top:6697;width:960;height:312" coordorigin="4191,6697" coordsize="960,312" path="m4191,7009r960,l5151,6697r-960,l4191,7009xe" fillcolor="#d9d9d9" stroked="f">
              <v:path arrowok="t"/>
            </v:shape>
            <w10:wrap anchorx="page" anchory="page"/>
          </v:group>
        </w:pict>
      </w:r>
      <w:r>
        <w:pict w14:anchorId="422CFDBB">
          <v:group id="_x0000_s1140" style="position:absolute;left:0;text-align:left;margin-left:101.55pt;margin-top:7in;width:51.35pt;height:15.6pt;z-index:-251681280;mso-position-horizontal-relative:page;mso-position-vertical-relative:page" coordorigin="2031,10080" coordsize="1027,312">
            <v:shape id="_x0000_s1141" style="position:absolute;left:2031;top:10080;width:1027;height:312" coordorigin="2031,10080" coordsize="1027,312" path="m2031,10392r1027,l3058,10080r-1027,l2031,10392xe" fillcolor="#d9d9d9" stroked="f">
              <v:path arrowok="t"/>
            </v:shape>
            <w10:wrap anchorx="page" anchory="page"/>
          </v:group>
        </w:pict>
      </w:r>
      <w:r>
        <w:rPr>
          <w:lang w:eastAsia="zh-CN"/>
        </w:rPr>
        <w:t>欢迎您成为电子科技大学成都学院的其中一员！</w:t>
      </w:r>
      <w:r>
        <w:rPr>
          <w:lang w:eastAsia="zh-CN"/>
        </w:rPr>
        <w:t xml:space="preserve"> </w:t>
      </w:r>
    </w:p>
    <w:p w14:paraId="52D91F35" w14:textId="69958F63" w:rsidR="00DF27FD" w:rsidRDefault="00D253AE">
      <w:pPr>
        <w:pStyle w:val="a3"/>
        <w:spacing w:before="51" w:line="253" w:lineRule="auto"/>
        <w:ind w:left="660" w:right="8497"/>
        <w:rPr>
          <w:lang w:eastAsia="zh-CN"/>
        </w:rPr>
      </w:pPr>
      <w:r>
        <w:rPr>
          <w:lang w:eastAsia="zh-CN"/>
        </w:rPr>
        <w:t>我们为您准备了一份攻略，请查收：</w:t>
      </w:r>
    </w:p>
    <w:p w14:paraId="6E8F101D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016A1CE7" w14:textId="77777777" w:rsidR="00DF27FD" w:rsidRDefault="00DF27FD">
      <w:pPr>
        <w:spacing w:line="280" w:lineRule="exact"/>
        <w:rPr>
          <w:sz w:val="28"/>
          <w:szCs w:val="28"/>
          <w:lang w:eastAsia="zh-CN"/>
        </w:rPr>
      </w:pPr>
    </w:p>
    <w:p w14:paraId="5EE380D7" w14:textId="77777777" w:rsidR="00DF27FD" w:rsidRDefault="00D253AE">
      <w:pPr>
        <w:pStyle w:val="3"/>
        <w:spacing w:line="419" w:lineRule="exact"/>
        <w:ind w:left="240"/>
      </w:pPr>
      <w:r>
        <w:rPr>
          <w:spacing w:val="2"/>
        </w:rPr>
        <w:t>一</w:t>
      </w:r>
      <w:r>
        <w:t>、</w:t>
      </w:r>
      <w:r>
        <w:rPr>
          <w:spacing w:val="16"/>
        </w:rPr>
        <w:t xml:space="preserve"> </w:t>
      </w:r>
      <w:r>
        <w:rPr>
          <w:spacing w:val="2"/>
          <w:highlight w:val="lightGray"/>
        </w:rPr>
        <w:t>入职流程：</w:t>
      </w:r>
    </w:p>
    <w:p w14:paraId="58D2976A" w14:textId="77777777" w:rsidR="00DF27FD" w:rsidRDefault="00DF27FD">
      <w:pPr>
        <w:spacing w:before="1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7"/>
        <w:gridCol w:w="4479"/>
        <w:gridCol w:w="2974"/>
        <w:gridCol w:w="3603"/>
        <w:gridCol w:w="3687"/>
      </w:tblGrid>
      <w:tr w:rsidR="00DF27FD" w14:paraId="77BAB0D6" w14:textId="77777777">
        <w:trPr>
          <w:trHeight w:hRule="exact" w:val="634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07A49C" w14:textId="77777777" w:rsidR="00DF27FD" w:rsidRDefault="00D253AE">
            <w:pPr>
              <w:pStyle w:val="TableParagraph"/>
              <w:spacing w:line="471" w:lineRule="exact"/>
              <w:ind w:left="12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步骤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42CC1E" w14:textId="77777777" w:rsidR="00DF27FD" w:rsidRDefault="00D253AE">
            <w:pPr>
              <w:pStyle w:val="TableParagraph"/>
              <w:spacing w:line="471" w:lineRule="exact"/>
              <w:ind w:left="1273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一、准</w:t>
            </w:r>
            <w:r>
              <w:rPr>
                <w:rFonts w:ascii="仿宋" w:eastAsia="仿宋" w:hAnsi="仿宋" w:cs="仿宋"/>
                <w:spacing w:val="2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/>
                <w:sz w:val="32"/>
                <w:szCs w:val="32"/>
              </w:rPr>
              <w:t>材料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D4D67" w14:textId="77777777" w:rsidR="00DF27FD" w:rsidRDefault="00D253AE">
            <w:pPr>
              <w:pStyle w:val="TableParagraph"/>
              <w:spacing w:line="471" w:lineRule="exact"/>
              <w:ind w:left="5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二、填</w:t>
            </w:r>
            <w:r>
              <w:rPr>
                <w:rFonts w:ascii="仿宋" w:eastAsia="仿宋" w:hAnsi="仿宋" w:cs="仿宋"/>
                <w:spacing w:val="2"/>
                <w:sz w:val="32"/>
                <w:szCs w:val="32"/>
              </w:rPr>
              <w:t>写</w:t>
            </w:r>
            <w:r>
              <w:rPr>
                <w:rFonts w:ascii="仿宋" w:eastAsia="仿宋" w:hAnsi="仿宋" w:cs="仿宋"/>
                <w:sz w:val="32"/>
                <w:szCs w:val="32"/>
              </w:rPr>
              <w:t>资料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AF2C3B" w14:textId="77777777" w:rsidR="00DF27FD" w:rsidRDefault="00D253AE">
            <w:pPr>
              <w:pStyle w:val="TableParagraph"/>
              <w:spacing w:line="471" w:lineRule="exact"/>
              <w:ind w:left="834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三、签</w:t>
            </w:r>
            <w:r>
              <w:rPr>
                <w:rFonts w:ascii="仿宋" w:eastAsia="仿宋" w:hAnsi="仿宋" w:cs="仿宋"/>
                <w:spacing w:val="2"/>
                <w:sz w:val="32"/>
                <w:szCs w:val="32"/>
              </w:rPr>
              <w:t>订</w:t>
            </w:r>
            <w:r>
              <w:rPr>
                <w:rFonts w:ascii="仿宋" w:eastAsia="仿宋" w:hAnsi="仿宋" w:cs="仿宋"/>
                <w:sz w:val="32"/>
                <w:szCs w:val="32"/>
              </w:rPr>
              <w:t>合同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4095AB" w14:textId="77777777" w:rsidR="00DF27FD" w:rsidRDefault="00D253AE">
            <w:pPr>
              <w:pStyle w:val="TableParagraph"/>
              <w:spacing w:line="471" w:lineRule="exact"/>
              <w:ind w:left="119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四、报到</w:t>
            </w:r>
          </w:p>
        </w:tc>
      </w:tr>
      <w:tr w:rsidR="00DF27FD" w14:paraId="159D011E" w14:textId="77777777">
        <w:trPr>
          <w:trHeight w:hRule="exact" w:val="487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EFB5A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9D7E0A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F9375F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CE2D5F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F8B00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7451A6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D0E32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C6532D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1DC55" w14:textId="77777777" w:rsidR="00DF27FD" w:rsidRDefault="00DF27FD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681E93CD" w14:textId="77777777" w:rsidR="00DF27FD" w:rsidRDefault="00D253AE">
            <w:pPr>
              <w:pStyle w:val="TableParagraph"/>
              <w:spacing w:line="317" w:lineRule="auto"/>
              <w:ind w:left="12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w w:val="95"/>
                <w:sz w:val="32"/>
                <w:szCs w:val="32"/>
              </w:rPr>
              <w:t>具体</w:t>
            </w:r>
            <w:r>
              <w:rPr>
                <w:rFonts w:ascii="仿宋" w:eastAsia="仿宋" w:hAnsi="仿宋" w:cs="仿宋"/>
                <w:w w:val="9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32"/>
                <w:szCs w:val="32"/>
              </w:rPr>
              <w:t>内容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0107" w14:textId="77777777" w:rsidR="00DF27FD" w:rsidRDefault="00D253AE">
            <w:pPr>
              <w:pStyle w:val="TableParagraph"/>
              <w:spacing w:line="30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身份证原件及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72495669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本科学历原件及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0284F781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本科学位原件及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4217BEFE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硕士学历原件及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2406F9C8" w14:textId="77777777" w:rsidR="00DF27FD" w:rsidRDefault="00D253AE">
            <w:pPr>
              <w:pStyle w:val="TableParagraph"/>
              <w:spacing w:before="21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硕士学历原件及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3AA94087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6.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国外学历学位认证书原件及复印件；</w:t>
            </w:r>
          </w:p>
          <w:p w14:paraId="0A1D50D7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7.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高校教师资格证原件及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21B2FAC2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职称资格证书原件及复印件；</w:t>
            </w:r>
          </w:p>
          <w:p w14:paraId="6A4AB639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9.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应聘简历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纸质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4F3D8910" w14:textId="77777777" w:rsidR="00DF27FD" w:rsidRDefault="00D253AE">
            <w:pPr>
              <w:pStyle w:val="TableParagraph"/>
              <w:spacing w:before="21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10.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党员证明材料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原件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辅导员需提供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06C01B49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11.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离职证明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原件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12E36549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12.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体检报告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原件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38B169FA" w14:textId="77777777" w:rsidR="00DF27FD" w:rsidRDefault="00D253AE">
            <w:pPr>
              <w:pStyle w:val="TableParagraph"/>
              <w:spacing w:before="20"/>
              <w:ind w:left="102" w:right="-1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13.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近期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寸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证件照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highlight w:val="lightGray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张（底色无要求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681A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7155D79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9AFD55C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998DB34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81E16E2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560B065" w14:textId="77777777" w:rsidR="00DF27FD" w:rsidRDefault="00DF27FD">
            <w:pPr>
              <w:pStyle w:val="TableParagraph"/>
              <w:spacing w:before="3" w:line="260" w:lineRule="exact"/>
              <w:rPr>
                <w:sz w:val="26"/>
                <w:szCs w:val="26"/>
                <w:lang w:eastAsia="zh-CN"/>
              </w:rPr>
            </w:pPr>
          </w:p>
          <w:p w14:paraId="295BF9CB" w14:textId="77777777" w:rsidR="00DF27FD" w:rsidRDefault="00D253AE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入职信息登记表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488AB830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入职信息登记表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0CC8E24E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录用条件确认书；</w:t>
            </w:r>
          </w:p>
          <w:p w14:paraId="119E8E26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员工承诺；</w:t>
            </w:r>
          </w:p>
          <w:p w14:paraId="0AC00A0B" w14:textId="77777777" w:rsidR="00DF27FD" w:rsidRDefault="00D253AE">
            <w:pPr>
              <w:pStyle w:val="TableParagraph"/>
              <w:spacing w:before="20" w:line="253" w:lineRule="auto"/>
              <w:ind w:left="522" w:right="102" w:hanging="4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保证书规</w:t>
            </w:r>
            <w:r>
              <w:rPr>
                <w:rFonts w:ascii="仿宋" w:eastAsia="仿宋" w:hAnsi="仿宋" w:cs="仿宋"/>
                <w:spacing w:val="-63"/>
                <w:sz w:val="24"/>
                <w:szCs w:val="24"/>
                <w:lang w:eastAsia="zh-CN"/>
              </w:rPr>
              <w:t>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（可在后期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补交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115B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1FC7CDE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E4F1BF4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BF0282D" w14:textId="77777777" w:rsidR="00DF27FD" w:rsidRDefault="00DF27FD">
            <w:pPr>
              <w:pStyle w:val="TableParagraph"/>
              <w:spacing w:before="8" w:line="280" w:lineRule="exact"/>
              <w:rPr>
                <w:sz w:val="28"/>
                <w:szCs w:val="28"/>
                <w:lang w:eastAsia="zh-CN"/>
              </w:rPr>
            </w:pPr>
          </w:p>
          <w:p w14:paraId="1741F33C" w14:textId="77777777" w:rsidR="00DF27FD" w:rsidRDefault="00D253AE">
            <w:pPr>
              <w:pStyle w:val="TableParagraph"/>
              <w:spacing w:line="254" w:lineRule="auto"/>
              <w:ind w:left="522" w:right="102" w:hanging="4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扫码下载钉钉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Ap</w:t>
            </w:r>
            <w:r>
              <w:rPr>
                <w:rFonts w:ascii="仿宋" w:eastAsia="仿宋" w:hAnsi="仿宋" w:cs="仿宋"/>
                <w:spacing w:val="-94"/>
                <w:sz w:val="24"/>
                <w:szCs w:val="24"/>
                <w:lang w:eastAsia="zh-CN"/>
              </w:rPr>
              <w:t>p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（需提前下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载）</w:t>
            </w:r>
          </w:p>
          <w:p w14:paraId="581CF0B4" w14:textId="77777777" w:rsidR="00DF27FD" w:rsidRDefault="00D253AE">
            <w:pPr>
              <w:pStyle w:val="TableParagraph"/>
              <w:spacing w:before="6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薪酬通知单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694B1429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劳动合同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(2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005162E2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调档函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份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4D4B207D" w14:textId="77777777" w:rsidR="00DF27FD" w:rsidRDefault="00D253AE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工作证明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份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562A3194" w14:textId="77777777" w:rsidR="00DF27FD" w:rsidRDefault="00D253AE">
            <w:pPr>
              <w:pStyle w:val="TableParagraph"/>
              <w:spacing w:before="20" w:line="254" w:lineRule="auto"/>
              <w:ind w:left="522" w:right="102" w:hanging="4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6.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33"/>
                <w:sz w:val="24"/>
                <w:szCs w:val="24"/>
                <w:lang w:eastAsia="zh-CN"/>
              </w:rPr>
              <w:t>现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场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通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过</w:t>
            </w:r>
            <w:r>
              <w:rPr>
                <w:rFonts w:ascii="仿宋" w:eastAsia="仿宋" w:hAnsi="仿宋" w:cs="仿宋"/>
                <w:spacing w:val="-9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钉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钉</w:t>
            </w:r>
            <w:r>
              <w:rPr>
                <w:rFonts w:ascii="仿宋" w:eastAsia="仿宋" w:hAnsi="仿宋" w:cs="仿宋"/>
                <w:spacing w:val="-9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扫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码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提</w:t>
            </w:r>
            <w:r>
              <w:rPr>
                <w:rFonts w:ascii="仿宋" w:eastAsia="仿宋" w:hAnsi="仿宋" w:cs="仿宋"/>
                <w:spacing w:val="-9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交</w:t>
            </w:r>
            <w:r>
              <w:rPr>
                <w:rFonts w:ascii="仿宋" w:eastAsia="仿宋" w:hAnsi="仿宋" w:cs="仿宋"/>
                <w:spacing w:val="-8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申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请。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DEA6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7B63EA8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58E56EB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0A975CC" w14:textId="77777777" w:rsidR="00DF27FD" w:rsidRDefault="00DF27FD">
            <w:pPr>
              <w:pStyle w:val="TableParagraph"/>
              <w:spacing w:before="8" w:line="280" w:lineRule="exact"/>
              <w:rPr>
                <w:sz w:val="28"/>
                <w:szCs w:val="28"/>
                <w:lang w:eastAsia="zh-CN"/>
              </w:rPr>
            </w:pPr>
          </w:p>
          <w:p w14:paraId="3018F9D6" w14:textId="77777777" w:rsidR="00DF27FD" w:rsidRDefault="00D253AE">
            <w:pPr>
              <w:pStyle w:val="TableParagraph"/>
              <w:spacing w:line="253" w:lineRule="auto"/>
              <w:ind w:left="522" w:right="33" w:hanging="420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14"/>
                <w:sz w:val="24"/>
                <w:szCs w:val="24"/>
                <w:lang w:eastAsia="zh-CN"/>
              </w:rPr>
              <w:t>带身</w:t>
            </w:r>
            <w:r>
              <w:rPr>
                <w:rFonts w:ascii="仿宋" w:eastAsia="仿宋" w:hAnsi="仿宋" w:cs="仿宋"/>
                <w:spacing w:val="16"/>
                <w:sz w:val="24"/>
                <w:szCs w:val="24"/>
                <w:lang w:eastAsia="zh-CN"/>
              </w:rPr>
              <w:t>份</w:t>
            </w:r>
            <w:r>
              <w:rPr>
                <w:rFonts w:ascii="仿宋" w:eastAsia="仿宋" w:hAnsi="仿宋" w:cs="仿宋"/>
                <w:spacing w:val="14"/>
                <w:sz w:val="24"/>
                <w:szCs w:val="24"/>
                <w:lang w:eastAsia="zh-CN"/>
              </w:rPr>
              <w:t>证复</w:t>
            </w:r>
            <w:r>
              <w:rPr>
                <w:rFonts w:ascii="仿宋" w:eastAsia="仿宋" w:hAnsi="仿宋" w:cs="仿宋"/>
                <w:spacing w:val="16"/>
                <w:sz w:val="24"/>
                <w:szCs w:val="24"/>
                <w:lang w:eastAsia="zh-CN"/>
              </w:rPr>
              <w:t>印</w:t>
            </w:r>
            <w:r>
              <w:rPr>
                <w:rFonts w:ascii="仿宋" w:eastAsia="仿宋" w:hAnsi="仿宋" w:cs="仿宋"/>
                <w:spacing w:val="14"/>
                <w:sz w:val="24"/>
                <w:szCs w:val="24"/>
                <w:lang w:eastAsia="zh-CN"/>
              </w:rPr>
              <w:t>件</w:t>
            </w:r>
            <w:r>
              <w:rPr>
                <w:rFonts w:ascii="仿宋" w:eastAsia="仿宋" w:hAnsi="仿宋" w:cs="仿宋"/>
                <w:spacing w:val="16"/>
                <w:sz w:val="24"/>
                <w:szCs w:val="24"/>
                <w:lang w:eastAsia="zh-CN"/>
              </w:rPr>
              <w:t>到财</w:t>
            </w:r>
            <w:r>
              <w:rPr>
                <w:rFonts w:ascii="仿宋" w:eastAsia="仿宋" w:hAnsi="仿宋" w:cs="仿宋"/>
                <w:spacing w:val="14"/>
                <w:sz w:val="24"/>
                <w:szCs w:val="24"/>
                <w:lang w:eastAsia="zh-CN"/>
              </w:rPr>
              <w:t>务部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办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24"/>
                <w:sz w:val="24"/>
                <w:szCs w:val="24"/>
                <w:lang w:eastAsia="zh-CN"/>
              </w:rPr>
              <w:t>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【成都银行</w:t>
            </w:r>
            <w:r>
              <w:rPr>
                <w:rFonts w:ascii="仿宋" w:eastAsia="仿宋" w:hAnsi="仿宋" w:cs="仿宋"/>
                <w:spacing w:val="-24"/>
                <w:sz w:val="24"/>
                <w:szCs w:val="24"/>
                <w:lang w:eastAsia="zh-CN"/>
              </w:rPr>
              <w:t>】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银行卡</w:t>
            </w:r>
            <w:r>
              <w:rPr>
                <w:rFonts w:ascii="仿宋" w:eastAsia="仿宋" w:hAnsi="仿宋" w:cs="仿宋"/>
                <w:spacing w:val="-24"/>
                <w:sz w:val="24"/>
                <w:szCs w:val="24"/>
                <w:lang w:eastAsia="zh-CN"/>
              </w:rPr>
              <w:t>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已有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成都银行银行卡的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  <w:lang w:eastAsia="zh-CN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只需提交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银行卡复印件大财务部即可；</w:t>
            </w:r>
          </w:p>
          <w:p w14:paraId="493561C8" w14:textId="77777777" w:rsidR="00DF27FD" w:rsidRDefault="00D253AE">
            <w:pPr>
              <w:pStyle w:val="TableParagraph"/>
              <w:spacing w:before="6"/>
              <w:ind w:left="102" w:right="-1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到所属部门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院系报到；</w:t>
            </w:r>
          </w:p>
          <w:p w14:paraId="1FF503BC" w14:textId="77777777" w:rsidR="00DF27FD" w:rsidRDefault="00D253AE">
            <w:pPr>
              <w:pStyle w:val="TableParagraph"/>
              <w:spacing w:before="20" w:line="254" w:lineRule="auto"/>
              <w:ind w:left="522" w:right="103" w:hanging="420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3.</w:t>
            </w:r>
            <w:r>
              <w:rPr>
                <w:rFonts w:ascii="仿宋" w:eastAsia="仿宋" w:hAnsi="仿宋" w:cs="仿宋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36"/>
                <w:sz w:val="24"/>
                <w:szCs w:val="24"/>
                <w:lang w:eastAsia="zh-CN"/>
              </w:rPr>
              <w:t>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《工作证明</w:t>
            </w:r>
            <w:r>
              <w:rPr>
                <w:rFonts w:ascii="仿宋" w:eastAsia="仿宋" w:hAnsi="仿宋" w:cs="仿宋"/>
                <w:spacing w:val="-36"/>
                <w:sz w:val="24"/>
                <w:szCs w:val="24"/>
                <w:lang w:eastAsia="zh-CN"/>
              </w:rPr>
              <w:t>》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到饭卡充值点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  <w:lang w:eastAsia="zh-CN"/>
              </w:rPr>
              <w:t>办理和激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活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  <w:lang w:eastAsia="zh-CN"/>
              </w:rPr>
              <w:t>饭</w:t>
            </w:r>
            <w:r>
              <w:rPr>
                <w:rFonts w:ascii="仿宋" w:eastAsia="仿宋" w:hAnsi="仿宋" w:cs="仿宋"/>
                <w:spacing w:val="6"/>
                <w:sz w:val="24"/>
                <w:szCs w:val="24"/>
                <w:lang w:eastAsia="zh-CN"/>
              </w:rPr>
              <w:t>卡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  <w:lang w:eastAsia="zh-CN"/>
              </w:rPr>
              <w:t>可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以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  <w:lang w:eastAsia="zh-CN"/>
              </w:rPr>
              <w:t>在需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时再办理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)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。</w:t>
            </w:r>
          </w:p>
        </w:tc>
      </w:tr>
      <w:tr w:rsidR="00DF27FD" w14:paraId="3D0EE827" w14:textId="77777777">
        <w:trPr>
          <w:trHeight w:hRule="exact" w:val="225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4089C1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DF19140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75DF973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B378944" w14:textId="77777777" w:rsidR="00DF27FD" w:rsidRDefault="00DF27FD">
            <w:pPr>
              <w:pStyle w:val="TableParagraph"/>
              <w:spacing w:before="13" w:line="200" w:lineRule="exact"/>
              <w:rPr>
                <w:sz w:val="20"/>
                <w:szCs w:val="20"/>
                <w:lang w:eastAsia="zh-CN"/>
              </w:rPr>
            </w:pPr>
          </w:p>
          <w:p w14:paraId="2C99E366" w14:textId="77777777" w:rsidR="00DF27FD" w:rsidRDefault="00D253AE">
            <w:pPr>
              <w:pStyle w:val="TableParagraph"/>
              <w:ind w:left="12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注意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96E6" w14:textId="77777777" w:rsidR="00DF27FD" w:rsidRDefault="00D253AE">
            <w:pPr>
              <w:pStyle w:val="TableParagraph"/>
              <w:tabs>
                <w:tab w:val="left" w:pos="522"/>
              </w:tabs>
              <w:spacing w:line="309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>➢</w:t>
            </w: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所有非原件的材料需</w:t>
            </w:r>
            <w:r>
              <w:rPr>
                <w:rFonts w:ascii="仿宋" w:eastAsia="仿宋" w:hAnsi="仿宋" w:cs="仿宋"/>
                <w:spacing w:val="1"/>
                <w:w w:val="95"/>
                <w:sz w:val="24"/>
                <w:szCs w:val="24"/>
                <w:lang w:eastAsia="zh-CN"/>
              </w:rPr>
              <w:t>确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认签字（身份</w:t>
            </w:r>
          </w:p>
          <w:p w14:paraId="1F6ABD0A" w14:textId="77777777" w:rsidR="00DF27FD" w:rsidRDefault="00D253AE">
            <w:pPr>
              <w:pStyle w:val="TableParagraph"/>
              <w:spacing w:before="20" w:line="254" w:lineRule="auto"/>
              <w:ind w:left="522" w:right="103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证复印件、学历及学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位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复印件、个人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简历等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，格式：姓名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+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日期；</w:t>
            </w:r>
          </w:p>
          <w:p w14:paraId="5CE2E70C" w14:textId="77777777" w:rsidR="00DF27FD" w:rsidRDefault="00D253AE">
            <w:pPr>
              <w:pStyle w:val="TableParagraph"/>
              <w:tabs>
                <w:tab w:val="left" w:pos="522"/>
              </w:tabs>
              <w:spacing w:before="6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>➢</w:t>
            </w: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15"/>
                <w:w w:val="95"/>
                <w:sz w:val="24"/>
                <w:szCs w:val="24"/>
                <w:lang w:eastAsia="zh-CN"/>
              </w:rPr>
              <w:t>阴影部分标</w:t>
            </w:r>
            <w:r>
              <w:rPr>
                <w:rFonts w:ascii="仿宋" w:eastAsia="仿宋" w:hAnsi="仿宋" w:cs="仿宋"/>
                <w:spacing w:val="17"/>
                <w:w w:val="95"/>
                <w:sz w:val="24"/>
                <w:szCs w:val="24"/>
                <w:lang w:eastAsia="zh-CN"/>
              </w:rPr>
              <w:t>记</w:t>
            </w:r>
            <w:r>
              <w:rPr>
                <w:rFonts w:ascii="仿宋" w:eastAsia="仿宋" w:hAnsi="仿宋" w:cs="仿宋"/>
                <w:spacing w:val="15"/>
                <w:w w:val="95"/>
                <w:sz w:val="24"/>
                <w:szCs w:val="24"/>
                <w:lang w:eastAsia="zh-CN"/>
              </w:rPr>
              <w:t>资料</w:t>
            </w:r>
            <w:r>
              <w:rPr>
                <w:rFonts w:ascii="仿宋" w:eastAsia="仿宋" w:hAnsi="仿宋" w:cs="仿宋"/>
                <w:spacing w:val="17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仿宋" w:eastAsia="仿宋" w:hAnsi="仿宋" w:cs="仿宋"/>
                <w:spacing w:val="15"/>
                <w:w w:val="95"/>
                <w:sz w:val="24"/>
                <w:szCs w:val="24"/>
                <w:lang w:eastAsia="zh-CN"/>
              </w:rPr>
              <w:t>装入</w:t>
            </w:r>
            <w:r>
              <w:rPr>
                <w:rFonts w:ascii="仿宋" w:eastAsia="仿宋" w:hAnsi="仿宋" w:cs="仿宋"/>
                <w:spacing w:val="15"/>
                <w:w w:val="95"/>
                <w:sz w:val="24"/>
                <w:szCs w:val="24"/>
                <w:lang w:eastAsia="zh-CN"/>
              </w:rPr>
              <w:t>个人档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案</w:t>
            </w:r>
          </w:p>
          <w:p w14:paraId="07C69CF7" w14:textId="77777777" w:rsidR="00DF27FD" w:rsidRDefault="00D253AE">
            <w:pPr>
              <w:pStyle w:val="TableParagraph"/>
              <w:spacing w:before="20" w:line="253" w:lineRule="auto"/>
              <w:ind w:left="522" w:right="-1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（包括：身份证复印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件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、学历及学位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复印件</w:t>
            </w:r>
            <w:r>
              <w:rPr>
                <w:rFonts w:ascii="仿宋" w:eastAsia="仿宋" w:hAnsi="仿宋" w:cs="仿宋"/>
                <w:spacing w:val="-118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个人简历</w:t>
            </w:r>
            <w:r>
              <w:rPr>
                <w:rFonts w:ascii="仿宋" w:eastAsia="仿宋" w:hAnsi="仿宋" w:cs="仿宋"/>
                <w:spacing w:val="-118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离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证明原件等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6EE5" w14:textId="77777777" w:rsidR="00DF27FD" w:rsidRDefault="00DF27FD">
            <w:pPr>
              <w:rPr>
                <w:lang w:eastAsia="zh-CN"/>
              </w:rPr>
            </w:pP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25BF" w14:textId="77777777" w:rsidR="00DF27FD" w:rsidRDefault="00DF27FD">
            <w:pPr>
              <w:pStyle w:val="TableParagraph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 w14:paraId="3554196E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6607357" w14:textId="77777777" w:rsidR="00DF27FD" w:rsidRDefault="00DF27FD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D35BD66" w14:textId="77777777" w:rsidR="00DF27FD" w:rsidRDefault="00D253AE">
            <w:pPr>
              <w:pStyle w:val="TableParagraph"/>
              <w:spacing w:line="253" w:lineRule="auto"/>
              <w:ind w:left="102" w:right="-1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highlight w:val="lightGray"/>
                <w:lang w:eastAsia="zh-CN"/>
              </w:rPr>
              <w:t>阴影部分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标记资</w:t>
            </w:r>
            <w:r>
              <w:rPr>
                <w:rFonts w:ascii="仿宋" w:eastAsia="仿宋" w:hAnsi="仿宋" w:cs="仿宋"/>
                <w:spacing w:val="-94"/>
                <w:sz w:val="24"/>
                <w:szCs w:val="24"/>
                <w:lang w:eastAsia="zh-CN"/>
              </w:rPr>
              <w:t>料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（薪酬通知单、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劳动合同、调档函、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工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作证</w:t>
            </w:r>
            <w:r>
              <w:rPr>
                <w:rFonts w:ascii="仿宋" w:eastAsia="仿宋" w:hAnsi="仿宋" w:cs="仿宋"/>
                <w:spacing w:val="3"/>
                <w:sz w:val="24"/>
                <w:szCs w:val="24"/>
                <w:lang w:eastAsia="zh-CN"/>
              </w:rPr>
              <w:t>明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由教职工本人保管。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E85E" w14:textId="77777777" w:rsidR="00DF27FD" w:rsidRDefault="00DF27FD">
            <w:pPr>
              <w:pStyle w:val="TableParagraph"/>
              <w:spacing w:before="2" w:line="140" w:lineRule="exact"/>
              <w:rPr>
                <w:sz w:val="14"/>
                <w:szCs w:val="14"/>
                <w:lang w:eastAsia="zh-CN"/>
              </w:rPr>
            </w:pPr>
          </w:p>
          <w:p w14:paraId="147230CC" w14:textId="77777777" w:rsidR="00DF27FD" w:rsidRDefault="00D253AE">
            <w:pPr>
              <w:pStyle w:val="TableParagraph"/>
              <w:tabs>
                <w:tab w:val="left" w:pos="522"/>
              </w:tabs>
              <w:spacing w:line="253" w:lineRule="auto"/>
              <w:ind w:left="522" w:right="-15" w:hanging="4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sz w:val="24"/>
                <w:szCs w:val="24"/>
                <w:lang w:eastAsia="zh-CN"/>
              </w:rPr>
              <w:t>➢</w:t>
            </w:r>
            <w:r>
              <w:rPr>
                <w:rFonts w:ascii="MS UI Gothic" w:eastAsia="MS UI Gothic" w:hAnsi="MS UI Gothic" w:cs="MS UI Gothic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财务部地址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  <w:lang w:eastAsia="zh-CN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国腾科技园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3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号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楼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  <w:lang w:eastAsia="zh-CN"/>
              </w:rPr>
              <w:t>楼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（进大厅走右侧大厅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；</w:t>
            </w:r>
          </w:p>
          <w:p w14:paraId="7BC6C2FE" w14:textId="77777777" w:rsidR="00DF27FD" w:rsidRDefault="00D253AE">
            <w:pPr>
              <w:pStyle w:val="TableParagraph"/>
              <w:tabs>
                <w:tab w:val="left" w:pos="522"/>
              </w:tabs>
              <w:spacing w:before="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>➢</w:t>
            </w: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院系地址：成都学院办公楼；</w:t>
            </w:r>
          </w:p>
          <w:p w14:paraId="13339605" w14:textId="77777777" w:rsidR="00DF27FD" w:rsidRDefault="00D253AE">
            <w:pPr>
              <w:pStyle w:val="TableParagraph"/>
              <w:tabs>
                <w:tab w:val="left" w:pos="522"/>
              </w:tabs>
              <w:spacing w:before="20" w:line="253" w:lineRule="auto"/>
              <w:ind w:left="522" w:right="105" w:hanging="4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>➢</w:t>
            </w:r>
            <w:r>
              <w:rPr>
                <w:rFonts w:ascii="MS UI Gothic" w:eastAsia="MS UI Gothic" w:hAnsi="MS UI Gothic" w:cs="MS UI Gothic"/>
                <w:w w:val="95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饭卡充值点</w:t>
            </w:r>
            <w:r>
              <w:rPr>
                <w:rFonts w:ascii="仿宋" w:eastAsia="仿宋" w:hAnsi="仿宋" w:cs="仿宋"/>
                <w:spacing w:val="-69"/>
                <w:w w:val="95"/>
                <w:sz w:val="24"/>
                <w:szCs w:val="24"/>
                <w:lang w:eastAsia="zh-CN"/>
              </w:rPr>
              <w:t>：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成都学院各食堂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  <w:lang w:eastAsia="zh-CN"/>
              </w:rPr>
              <w:t>充值点和实验楼收费中心。</w:t>
            </w:r>
          </w:p>
        </w:tc>
      </w:tr>
    </w:tbl>
    <w:p w14:paraId="7FECEBB1" w14:textId="77777777" w:rsidR="00DF27FD" w:rsidRDefault="00DF27FD">
      <w:pPr>
        <w:spacing w:line="253" w:lineRule="auto"/>
        <w:rPr>
          <w:rFonts w:ascii="仿宋" w:eastAsia="仿宋" w:hAnsi="仿宋" w:cs="仿宋"/>
          <w:sz w:val="24"/>
          <w:szCs w:val="24"/>
          <w:lang w:eastAsia="zh-CN"/>
        </w:rPr>
        <w:sectPr w:rsidR="00DF27FD">
          <w:type w:val="continuous"/>
          <w:pgSz w:w="16839" w:h="11920" w:orient="landscape"/>
          <w:pgMar w:top="660" w:right="480" w:bottom="280" w:left="480" w:header="720" w:footer="720" w:gutter="0"/>
          <w:cols w:space="720"/>
        </w:sectPr>
      </w:pPr>
    </w:p>
    <w:p w14:paraId="3F1AE91A" w14:textId="77777777" w:rsidR="00DF27FD" w:rsidRDefault="00D253AE">
      <w:pPr>
        <w:spacing w:line="426" w:lineRule="exact"/>
        <w:ind w:left="1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lastRenderedPageBreak/>
        <w:t>二</w:t>
      </w:r>
      <w:r>
        <w:rPr>
          <w:rFonts w:ascii="仿宋" w:eastAsia="仿宋" w:hAnsi="仿宋" w:cs="仿宋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spacing w:val="1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2"/>
          <w:szCs w:val="32"/>
          <w:highlight w:val="lightGray"/>
          <w:lang w:eastAsia="zh-CN"/>
        </w:rPr>
        <w:t>常见问题：</w:t>
      </w:r>
    </w:p>
    <w:p w14:paraId="066D5168" w14:textId="77777777" w:rsidR="00DF27FD" w:rsidRDefault="00DF27FD">
      <w:pPr>
        <w:spacing w:before="5" w:line="100" w:lineRule="exact"/>
        <w:rPr>
          <w:sz w:val="10"/>
          <w:szCs w:val="10"/>
          <w:lang w:eastAsia="zh-CN"/>
        </w:rPr>
      </w:pPr>
    </w:p>
    <w:p w14:paraId="2AD8B6C8" w14:textId="77777777" w:rsidR="00DF27FD" w:rsidRDefault="00D253AE">
      <w:pPr>
        <w:pStyle w:val="a3"/>
        <w:tabs>
          <w:tab w:val="left" w:pos="1360"/>
        </w:tabs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一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社</w:t>
      </w:r>
      <w:r>
        <w:rPr>
          <w:lang w:eastAsia="zh-CN"/>
        </w:rPr>
        <w:t>保</w:t>
      </w:r>
      <w:r>
        <w:rPr>
          <w:rFonts w:cs="仿宋"/>
          <w:spacing w:val="2"/>
          <w:lang w:eastAsia="zh-CN"/>
        </w:rPr>
        <w:t>(</w:t>
      </w:r>
      <w:r>
        <w:rPr>
          <w:lang w:eastAsia="zh-CN"/>
        </w:rPr>
        <w:t>含医</w:t>
      </w:r>
      <w:r>
        <w:rPr>
          <w:spacing w:val="2"/>
          <w:lang w:eastAsia="zh-CN"/>
        </w:rPr>
        <w:t>保</w:t>
      </w:r>
      <w:r>
        <w:rPr>
          <w:rFonts w:cs="仿宋"/>
          <w:spacing w:val="2"/>
          <w:lang w:eastAsia="zh-CN"/>
        </w:rPr>
        <w:t>)</w:t>
      </w:r>
      <w:r>
        <w:rPr>
          <w:lang w:eastAsia="zh-CN"/>
        </w:rPr>
        <w:t>：</w:t>
      </w:r>
    </w:p>
    <w:p w14:paraId="56E8F2BE" w14:textId="77777777" w:rsidR="00DF27FD" w:rsidRDefault="00D253AE">
      <w:pPr>
        <w:pStyle w:val="a3"/>
        <w:spacing w:line="253" w:lineRule="auto"/>
        <w:ind w:left="1360" w:firstLine="419"/>
        <w:rPr>
          <w:lang w:eastAsia="zh-CN"/>
        </w:rPr>
      </w:pPr>
      <w:r>
        <w:rPr>
          <w:lang w:eastAsia="zh-CN"/>
        </w:rPr>
        <w:t>学院为教职工缴纳的是成都市社保。若原单位缴纳的是成都市社会保险的，不用作转移。若原单位是省社保或参保地在成都市以外</w:t>
      </w:r>
      <w:r>
        <w:rPr>
          <w:lang w:eastAsia="zh-CN"/>
        </w:rPr>
        <w:t xml:space="preserve"> </w:t>
      </w:r>
      <w:r>
        <w:rPr>
          <w:lang w:eastAsia="zh-CN"/>
        </w:rPr>
        <w:t>的，应办理养老保险和医疗保险的转移。转移步骤：到原参保所在地社保经办机构打印养老保险和医疗保险参保凭证，持该凭证至成</w:t>
      </w:r>
      <w:r>
        <w:rPr>
          <w:lang w:eastAsia="zh-CN"/>
        </w:rPr>
        <w:t xml:space="preserve"> </w:t>
      </w:r>
      <w:r>
        <w:rPr>
          <w:lang w:eastAsia="zh-CN"/>
        </w:rPr>
        <w:t>都市社保任一经办机</w:t>
      </w:r>
      <w:r>
        <w:rPr>
          <w:spacing w:val="-1"/>
          <w:lang w:eastAsia="zh-CN"/>
        </w:rPr>
        <w:t>构</w:t>
      </w:r>
      <w:r>
        <w:rPr>
          <w:lang w:eastAsia="zh-CN"/>
        </w:rPr>
        <w:t>（成都市高新区社保经办机构地址可在【人力资源部公众号】后台回复</w:t>
      </w:r>
      <w:r>
        <w:rPr>
          <w:lang w:eastAsia="zh-CN"/>
        </w:rPr>
        <w:t>“</w:t>
      </w:r>
      <w:r>
        <w:rPr>
          <w:lang w:eastAsia="zh-CN"/>
        </w:rPr>
        <w:t>社保</w:t>
      </w:r>
      <w:r>
        <w:rPr>
          <w:lang w:eastAsia="zh-CN"/>
        </w:rPr>
        <w:t>”</w:t>
      </w:r>
      <w:r>
        <w:rPr>
          <w:lang w:eastAsia="zh-CN"/>
        </w:rPr>
        <w:t>进行获</w:t>
      </w:r>
      <w:r>
        <w:rPr>
          <w:spacing w:val="1"/>
          <w:lang w:eastAsia="zh-CN"/>
        </w:rPr>
        <w:t>取</w:t>
      </w:r>
      <w:r>
        <w:rPr>
          <w:lang w:eastAsia="zh-CN"/>
        </w:rPr>
        <w:t>）办理养老保险和医</w:t>
      </w:r>
    </w:p>
    <w:p w14:paraId="41B545EE" w14:textId="77777777" w:rsidR="00DF27FD" w:rsidRDefault="00DF27FD">
      <w:pPr>
        <w:spacing w:before="7" w:line="120" w:lineRule="exact"/>
        <w:rPr>
          <w:sz w:val="12"/>
          <w:szCs w:val="12"/>
          <w:lang w:eastAsia="zh-CN"/>
        </w:rPr>
      </w:pPr>
    </w:p>
    <w:p w14:paraId="62488C4F" w14:textId="77777777" w:rsidR="00DF27FD" w:rsidRDefault="00D253AE">
      <w:pPr>
        <w:ind w:left="1360"/>
        <w:rPr>
          <w:rFonts w:ascii="仿宋" w:eastAsia="仿宋" w:hAnsi="仿宋" w:cs="仿宋"/>
          <w:sz w:val="24"/>
          <w:szCs w:val="24"/>
        </w:rPr>
      </w:pPr>
      <w:r>
        <w:rPr>
          <w:rFonts w:eastAsiaTheme="minorHAnsi"/>
        </w:rPr>
        <w:pict w14:anchorId="530ED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706.5pt;margin-top:.5pt;width:95.25pt;height:95.25pt;z-index:-251680256;mso-position-horizontal-relative:page">
            <v:imagedata r:id="rId4" o:title=""/>
            <w10:wrap anchorx="page"/>
          </v:shape>
        </w:pict>
      </w:r>
      <w:r>
        <w:rPr>
          <w:rFonts w:ascii="仿宋" w:eastAsia="仿宋" w:hAnsi="仿宋" w:cs="仿宋"/>
          <w:sz w:val="24"/>
          <w:szCs w:val="24"/>
        </w:rPr>
        <w:t>疗保险转移。咨询电话</w:t>
      </w:r>
      <w:r>
        <w:rPr>
          <w:rFonts w:ascii="仿宋" w:eastAsia="仿宋" w:hAnsi="仿宋" w:cs="仿宋"/>
          <w:spacing w:val="-1"/>
          <w:sz w:val="24"/>
          <w:szCs w:val="24"/>
        </w:rPr>
        <w:t>：</w:t>
      </w:r>
      <w:r>
        <w:rPr>
          <w:rFonts w:ascii="仿宋" w:eastAsia="仿宋" w:hAnsi="仿宋" w:cs="仿宋"/>
          <w:sz w:val="24"/>
          <w:szCs w:val="24"/>
        </w:rPr>
        <w:t>12333</w:t>
      </w:r>
      <w:r>
        <w:rPr>
          <w:rFonts w:ascii="仿宋" w:eastAsia="仿宋" w:hAnsi="仿宋" w:cs="仿宋"/>
          <w:sz w:val="24"/>
          <w:szCs w:val="24"/>
        </w:rPr>
        <w:t>；咨询机构：成都市人力资源和社会保障局网址（</w:t>
      </w:r>
      <w:hyperlink r:id="rId5"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ttp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hr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</w:hyperlink>
      <w:r>
        <w:rPr>
          <w:rFonts w:ascii="仿宋" w:eastAsia="仿宋" w:hAnsi="仿宋" w:cs="仿宋"/>
          <w:color w:val="000000"/>
          <w:sz w:val="24"/>
          <w:szCs w:val="24"/>
        </w:rPr>
        <w:t>）</w:t>
      </w:r>
    </w:p>
    <w:p w14:paraId="143B8C2B" w14:textId="77777777" w:rsidR="00DF27FD" w:rsidRDefault="00DF27FD">
      <w:pPr>
        <w:spacing w:before="10" w:line="130" w:lineRule="exact"/>
        <w:rPr>
          <w:sz w:val="13"/>
          <w:szCs w:val="13"/>
        </w:rPr>
      </w:pPr>
    </w:p>
    <w:p w14:paraId="4B7CFC73" w14:textId="77777777" w:rsidR="00DF27FD" w:rsidRDefault="00D253AE">
      <w:pPr>
        <w:pStyle w:val="a3"/>
        <w:tabs>
          <w:tab w:val="left" w:pos="1360"/>
        </w:tabs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二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社</w:t>
      </w:r>
      <w:r>
        <w:rPr>
          <w:lang w:eastAsia="zh-CN"/>
        </w:rPr>
        <w:t>保</w:t>
      </w:r>
      <w:r>
        <w:rPr>
          <w:spacing w:val="2"/>
          <w:lang w:eastAsia="zh-CN"/>
        </w:rPr>
        <w:t>卡</w:t>
      </w:r>
      <w:r>
        <w:rPr>
          <w:lang w:eastAsia="zh-CN"/>
        </w:rPr>
        <w:t>：</w:t>
      </w:r>
    </w:p>
    <w:p w14:paraId="14EDB5C6" w14:textId="77777777" w:rsidR="00DF27FD" w:rsidRDefault="00D253AE">
      <w:pPr>
        <w:pStyle w:val="a3"/>
        <w:spacing w:line="253" w:lineRule="auto"/>
        <w:ind w:left="1840" w:right="3537"/>
        <w:rPr>
          <w:lang w:eastAsia="zh-CN"/>
        </w:rPr>
      </w:pPr>
      <w:r>
        <w:rPr>
          <w:lang w:eastAsia="zh-CN"/>
        </w:rPr>
        <w:t>若教职工有社会保障卡（卡片上有照片的</w:t>
      </w:r>
      <w:r>
        <w:rPr>
          <w:spacing w:val="-120"/>
          <w:lang w:eastAsia="zh-CN"/>
        </w:rPr>
        <w:t>）</w:t>
      </w:r>
      <w:r>
        <w:rPr>
          <w:lang w:eastAsia="zh-CN"/>
        </w:rPr>
        <w:t>，在办理社保转移时，一并办理社会保障卡属地转接。</w:t>
      </w:r>
      <w:r>
        <w:rPr>
          <w:lang w:eastAsia="zh-CN"/>
        </w:rPr>
        <w:t xml:space="preserve"> </w:t>
      </w:r>
      <w:r>
        <w:rPr>
          <w:lang w:eastAsia="zh-CN"/>
        </w:rPr>
        <w:t>若无社会保障卡，需自行去指定银行办理。指定银行和操作流程详</w:t>
      </w:r>
      <w:r>
        <w:rPr>
          <w:spacing w:val="1"/>
          <w:lang w:eastAsia="zh-CN"/>
        </w:rPr>
        <w:t>见</w:t>
      </w:r>
      <w:r>
        <w:rPr>
          <w:lang w:eastAsia="zh-CN"/>
        </w:rPr>
        <w:t>小程序：</w:t>
      </w:r>
    </w:p>
    <w:p w14:paraId="7E633947" w14:textId="77777777" w:rsidR="00DF27FD" w:rsidRDefault="00D253AE">
      <w:pPr>
        <w:pStyle w:val="a3"/>
        <w:tabs>
          <w:tab w:val="left" w:pos="1360"/>
        </w:tabs>
        <w:spacing w:before="6"/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三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公</w:t>
      </w:r>
      <w:r>
        <w:rPr>
          <w:lang w:eastAsia="zh-CN"/>
        </w:rPr>
        <w:t>积</w:t>
      </w:r>
      <w:r>
        <w:rPr>
          <w:spacing w:val="2"/>
          <w:lang w:eastAsia="zh-CN"/>
        </w:rPr>
        <w:t>金</w:t>
      </w:r>
      <w:r>
        <w:rPr>
          <w:lang w:eastAsia="zh-CN"/>
        </w:rPr>
        <w:t>：</w:t>
      </w:r>
    </w:p>
    <w:p w14:paraId="3F995C84" w14:textId="77777777" w:rsidR="00DF27FD" w:rsidRDefault="00D253AE">
      <w:pPr>
        <w:pStyle w:val="a3"/>
        <w:spacing w:line="254" w:lineRule="auto"/>
        <w:ind w:left="1360" w:firstLine="479"/>
        <w:rPr>
          <w:lang w:eastAsia="zh-CN"/>
        </w:rPr>
      </w:pPr>
      <w:r>
        <w:rPr>
          <w:lang w:eastAsia="zh-CN"/>
        </w:rPr>
        <w:t>学院为教职工购买的是成都市住房公积金。若原单位购买的也是成都市住房公积金，账号不会发生变化，在学院购买公积金后，</w:t>
      </w:r>
      <w:r>
        <w:rPr>
          <w:lang w:eastAsia="zh-CN"/>
        </w:rPr>
        <w:t xml:space="preserve"> </w:t>
      </w:r>
      <w:r>
        <w:rPr>
          <w:lang w:eastAsia="zh-CN"/>
        </w:rPr>
        <w:t>教职</w:t>
      </w:r>
      <w:r>
        <w:rPr>
          <w:spacing w:val="-1"/>
          <w:lang w:eastAsia="zh-CN"/>
        </w:rPr>
        <w:t>工</w:t>
      </w:r>
      <w:r>
        <w:rPr>
          <w:lang w:eastAsia="zh-CN"/>
        </w:rPr>
        <w:t>将学院公积金单位客户号和个人客户号发给原单位办理内部转</w:t>
      </w:r>
      <w:r>
        <w:rPr>
          <w:spacing w:val="1"/>
          <w:lang w:eastAsia="zh-CN"/>
        </w:rPr>
        <w:t>移</w:t>
      </w:r>
      <w:r>
        <w:rPr>
          <w:lang w:eastAsia="zh-CN"/>
        </w:rPr>
        <w:t>（负责社保公积金的老师会私聊发送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14:paraId="797F1A60" w14:textId="77777777" w:rsidR="00DF27FD" w:rsidRDefault="00D253AE">
      <w:pPr>
        <w:spacing w:before="6" w:line="335" w:lineRule="auto"/>
        <w:ind w:left="1360" w:firstLine="479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若原购买的是四川省住房公积金或省外公积金，在学院购买公积金后</w:t>
      </w: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，</w:t>
      </w:r>
      <w:r>
        <w:rPr>
          <w:rFonts w:ascii="仿宋" w:eastAsia="仿宋" w:hAnsi="仿宋" w:cs="仿宋"/>
          <w:sz w:val="24"/>
          <w:szCs w:val="24"/>
          <w:lang w:eastAsia="zh-CN"/>
        </w:rPr>
        <w:t>教职工需办理公积金异地转移。具体流程可通过公积金电</w:t>
      </w:r>
      <w:r>
        <w:rPr>
          <w:rFonts w:ascii="仿宋" w:eastAsia="仿宋" w:hAnsi="仿宋" w:cs="仿宋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4"/>
          <w:szCs w:val="24"/>
          <w:lang w:eastAsia="zh-CN"/>
        </w:rPr>
        <w:t>话</w:t>
      </w:r>
      <w:r>
        <w:rPr>
          <w:rFonts w:ascii="仿宋" w:eastAsia="仿宋" w:hAnsi="仿宋" w:cs="仿宋"/>
          <w:sz w:val="24"/>
          <w:szCs w:val="24"/>
          <w:lang w:eastAsia="zh-CN"/>
        </w:rPr>
        <w:t>(12329)</w:t>
      </w:r>
      <w:r>
        <w:rPr>
          <w:rFonts w:ascii="仿宋" w:eastAsia="仿宋" w:hAnsi="仿宋" w:cs="仿宋"/>
          <w:sz w:val="24"/>
          <w:szCs w:val="24"/>
          <w:lang w:eastAsia="zh-CN"/>
        </w:rPr>
        <w:t>咨询或访问成都市住房公积金网站</w:t>
      </w:r>
      <w:r>
        <w:rPr>
          <w:rFonts w:ascii="仿宋" w:eastAsia="仿宋" w:hAnsi="仿宋" w:cs="仿宋"/>
          <w:sz w:val="24"/>
          <w:szCs w:val="24"/>
          <w:lang w:eastAsia="zh-CN"/>
        </w:rPr>
        <w:t>(</w:t>
      </w:r>
      <w:hyperlink r:id="rId6"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ttp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: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/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  <w:lang w:eastAsia="zh-CN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z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  <w:lang w:eastAsia="zh-CN"/>
          </w:rPr>
          <w:t>f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j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j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  <w:lang w:eastAsia="zh-CN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gd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  <w:lang w:eastAsia="zh-CN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g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  <w:lang w:eastAsia="zh-CN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/</w:t>
        </w:r>
      </w:hyperlink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)</w:t>
      </w:r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进行了解。</w:t>
      </w:r>
    </w:p>
    <w:p w14:paraId="1C23E0B2" w14:textId="77777777" w:rsidR="00DF27FD" w:rsidRDefault="00D253AE">
      <w:pPr>
        <w:pStyle w:val="a3"/>
        <w:tabs>
          <w:tab w:val="left" w:pos="1360"/>
        </w:tabs>
        <w:spacing w:before="39"/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四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担</w:t>
      </w:r>
      <w:r>
        <w:rPr>
          <w:lang w:eastAsia="zh-CN"/>
        </w:rPr>
        <w:t>保</w:t>
      </w:r>
      <w:r>
        <w:rPr>
          <w:spacing w:val="2"/>
          <w:lang w:eastAsia="zh-CN"/>
        </w:rPr>
        <w:t>人</w:t>
      </w:r>
      <w:r>
        <w:rPr>
          <w:lang w:eastAsia="zh-CN"/>
        </w:rPr>
        <w:t>：</w:t>
      </w:r>
    </w:p>
    <w:p w14:paraId="276FBE0B" w14:textId="77777777" w:rsidR="00DF27FD" w:rsidRDefault="00D253AE">
      <w:pPr>
        <w:pStyle w:val="a3"/>
        <w:ind w:left="1780"/>
        <w:rPr>
          <w:lang w:eastAsia="zh-CN"/>
        </w:rPr>
      </w:pPr>
      <w:r>
        <w:rPr>
          <w:lang w:eastAsia="zh-CN"/>
        </w:rPr>
        <w:t>若担保人为成都学院教职工，无需提交其他材料。担保人不是成都学院教职工的，需提交担保人的身份证复印件和工作证明。</w:t>
      </w:r>
    </w:p>
    <w:p w14:paraId="04DA7A60" w14:textId="77777777" w:rsidR="00DF27FD" w:rsidRDefault="00D253AE">
      <w:pPr>
        <w:pStyle w:val="a3"/>
        <w:tabs>
          <w:tab w:val="left" w:pos="1360"/>
        </w:tabs>
        <w:spacing w:before="21"/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五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档案</w:t>
      </w:r>
      <w:r>
        <w:rPr>
          <w:lang w:eastAsia="zh-CN"/>
        </w:rPr>
        <w:t>：</w:t>
      </w:r>
    </w:p>
    <w:p w14:paraId="4C956833" w14:textId="77777777" w:rsidR="00DF27FD" w:rsidRDefault="00D253AE">
      <w:pPr>
        <w:pStyle w:val="a3"/>
        <w:spacing w:line="253" w:lineRule="auto"/>
        <w:ind w:left="1360" w:firstLine="419"/>
        <w:rPr>
          <w:lang w:eastAsia="zh-CN"/>
        </w:rPr>
      </w:pPr>
      <w:r>
        <w:rPr>
          <w:lang w:eastAsia="zh-CN"/>
        </w:rPr>
        <w:t>成都学院的档案委托单位</w:t>
      </w:r>
      <w:r>
        <w:rPr>
          <w:rFonts w:cs="仿宋"/>
          <w:lang w:eastAsia="zh-CN"/>
        </w:rPr>
        <w:t>(</w:t>
      </w:r>
      <w:r>
        <w:rPr>
          <w:lang w:eastAsia="zh-CN"/>
        </w:rPr>
        <w:t>成都市教育人才服务中心</w:t>
      </w:r>
      <w:r>
        <w:rPr>
          <w:rFonts w:cs="仿宋"/>
          <w:lang w:eastAsia="zh-CN"/>
        </w:rPr>
        <w:t>)</w:t>
      </w:r>
      <w:r>
        <w:rPr>
          <w:lang w:eastAsia="zh-CN"/>
        </w:rPr>
        <w:t>不接受个人自带档案转递。您只需将《调档函</w:t>
      </w:r>
      <w:r>
        <w:rPr>
          <w:spacing w:val="-120"/>
          <w:lang w:eastAsia="zh-CN"/>
        </w:rPr>
        <w:t>》</w:t>
      </w:r>
      <w:r>
        <w:rPr>
          <w:lang w:eastAsia="zh-CN"/>
        </w:rPr>
        <w:t>（有效期内）交给目前档案的</w:t>
      </w:r>
      <w:r>
        <w:rPr>
          <w:lang w:eastAsia="zh-CN"/>
        </w:rPr>
        <w:t xml:space="preserve"> </w:t>
      </w:r>
      <w:r>
        <w:rPr>
          <w:lang w:eastAsia="zh-CN"/>
        </w:rPr>
        <w:t>寄存单位即</w:t>
      </w:r>
      <w:r>
        <w:rPr>
          <w:spacing w:val="-1"/>
          <w:lang w:eastAsia="zh-CN"/>
        </w:rPr>
        <w:t>可</w:t>
      </w:r>
      <w:r>
        <w:rPr>
          <w:lang w:eastAsia="zh-CN"/>
        </w:rPr>
        <w:t>，您的档案会以机要文件的形式寄送到成都市教育人才服务中心。</w:t>
      </w:r>
    </w:p>
    <w:p w14:paraId="1ACB56A1" w14:textId="77777777" w:rsidR="00DF27FD" w:rsidRDefault="00DF27FD">
      <w:pPr>
        <w:spacing w:before="7" w:line="120" w:lineRule="exact"/>
        <w:rPr>
          <w:sz w:val="12"/>
          <w:szCs w:val="12"/>
          <w:lang w:eastAsia="zh-CN"/>
        </w:rPr>
      </w:pPr>
    </w:p>
    <w:p w14:paraId="05C719C3" w14:textId="77777777" w:rsidR="00DF27FD" w:rsidRDefault="00D253AE">
      <w:pPr>
        <w:ind w:left="17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档案保管地址不明确的，可在成都人才网</w:t>
      </w:r>
      <w:r>
        <w:rPr>
          <w:rFonts w:ascii="仿宋" w:eastAsia="仿宋" w:hAnsi="仿宋" w:cs="仿宋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z w:val="24"/>
          <w:szCs w:val="24"/>
          <w:lang w:eastAsia="zh-CN"/>
        </w:rPr>
        <w:t>（</w:t>
      </w:r>
      <w:hyperlink r:id="rId7"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ttp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: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.r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c1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  <w:lang w:eastAsia="zh-CN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4.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  <w:lang w:eastAsia="zh-CN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eastAsia="zh-CN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  <w:lang w:eastAsia="zh-CN"/>
          </w:rPr>
          <w:t>/</w:t>
        </w:r>
      </w:hyperlink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）</w:t>
      </w:r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进</w:t>
      </w:r>
      <w:r>
        <w:rPr>
          <w:rFonts w:ascii="仿宋" w:eastAsia="仿宋" w:hAnsi="仿宋" w:cs="仿宋"/>
          <w:color w:val="000000"/>
          <w:spacing w:val="-3"/>
          <w:sz w:val="24"/>
          <w:szCs w:val="24"/>
          <w:lang w:eastAsia="zh-CN"/>
        </w:rPr>
        <w:t>行</w:t>
      </w:r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查询（仅支持查询成都范围内的档案信息</w:t>
      </w:r>
      <w:r>
        <w:rPr>
          <w:rFonts w:ascii="仿宋" w:eastAsia="仿宋" w:hAnsi="仿宋" w:cs="仿宋"/>
          <w:color w:val="000000"/>
          <w:spacing w:val="-120"/>
          <w:sz w:val="24"/>
          <w:szCs w:val="24"/>
          <w:lang w:eastAsia="zh-CN"/>
        </w:rPr>
        <w:t>）</w:t>
      </w:r>
      <w:r>
        <w:rPr>
          <w:rFonts w:ascii="仿宋" w:eastAsia="仿宋" w:hAnsi="仿宋" w:cs="仿宋"/>
          <w:color w:val="000000"/>
          <w:sz w:val="24"/>
          <w:szCs w:val="24"/>
          <w:lang w:eastAsia="zh-CN"/>
        </w:rPr>
        <w:t>。</w:t>
      </w:r>
    </w:p>
    <w:p w14:paraId="4233F4F4" w14:textId="77777777" w:rsidR="00DF27FD" w:rsidRDefault="00DF27FD">
      <w:pPr>
        <w:spacing w:before="3" w:line="150" w:lineRule="exact"/>
        <w:rPr>
          <w:sz w:val="15"/>
          <w:szCs w:val="15"/>
          <w:lang w:eastAsia="zh-CN"/>
        </w:rPr>
      </w:pPr>
    </w:p>
    <w:p w14:paraId="5E49076F" w14:textId="77777777" w:rsidR="00DF27FD" w:rsidRDefault="00D253AE">
      <w:pPr>
        <w:pStyle w:val="a3"/>
        <w:tabs>
          <w:tab w:val="left" w:pos="1360"/>
        </w:tabs>
        <w:spacing w:line="340" w:lineRule="exact"/>
        <w:rPr>
          <w:lang w:eastAsia="zh-CN"/>
        </w:rPr>
      </w:pPr>
      <w:r>
        <w:rPr>
          <w:rFonts w:cs="仿宋"/>
          <w:lang w:eastAsia="zh-CN"/>
        </w:rPr>
        <w:t>(</w:t>
      </w:r>
      <w:r>
        <w:rPr>
          <w:lang w:eastAsia="zh-CN"/>
        </w:rPr>
        <w:t>六</w:t>
      </w:r>
      <w:r>
        <w:rPr>
          <w:rFonts w:cs="仿宋"/>
          <w:lang w:eastAsia="zh-CN"/>
        </w:rPr>
        <w:t>)</w:t>
      </w:r>
      <w:r>
        <w:rPr>
          <w:rFonts w:cs="仿宋"/>
          <w:lang w:eastAsia="zh-CN"/>
        </w:rPr>
        <w:tab/>
      </w:r>
      <w:r>
        <w:rPr>
          <w:lang w:eastAsia="zh-CN"/>
        </w:rPr>
        <w:t>关</w:t>
      </w:r>
      <w:r>
        <w:rPr>
          <w:spacing w:val="-1"/>
          <w:lang w:eastAsia="zh-CN"/>
        </w:rPr>
        <w:t>于</w:t>
      </w:r>
      <w:r>
        <w:rPr>
          <w:spacing w:val="2"/>
          <w:lang w:eastAsia="zh-CN"/>
        </w:rPr>
        <w:t>职称</w:t>
      </w:r>
      <w:r>
        <w:rPr>
          <w:lang w:eastAsia="zh-CN"/>
        </w:rPr>
        <w:t>：</w:t>
      </w:r>
    </w:p>
    <w:p w14:paraId="32AF2283" w14:textId="77777777" w:rsidR="00DF27FD" w:rsidRDefault="00D253AE">
      <w:pPr>
        <w:pStyle w:val="a3"/>
        <w:spacing w:before="21" w:line="253" w:lineRule="auto"/>
        <w:ind w:left="1360" w:right="296" w:firstLine="479"/>
        <w:jc w:val="both"/>
        <w:rPr>
          <w:lang w:eastAsia="zh-CN"/>
        </w:rPr>
      </w:pPr>
      <w:r>
        <w:rPr>
          <w:lang w:eastAsia="zh-CN"/>
        </w:rPr>
        <w:t>目前，专职教师的职称与薪酬等级和课时绩效挂钩。若通过评审渠道取得相关专业技术职务</w:t>
      </w:r>
      <w:r>
        <w:rPr>
          <w:spacing w:val="1"/>
          <w:lang w:eastAsia="zh-CN"/>
        </w:rPr>
        <w:t>，</w:t>
      </w:r>
      <w:r>
        <w:rPr>
          <w:lang w:eastAsia="zh-CN"/>
        </w:rPr>
        <w:t>需在报到时提交以下材料：</w:t>
      </w:r>
      <w:r>
        <w:rPr>
          <w:lang w:eastAsia="zh-CN"/>
        </w:rPr>
        <w:t>①</w:t>
      </w:r>
      <w:r>
        <w:rPr>
          <w:lang w:eastAsia="zh-CN"/>
        </w:rPr>
        <w:t>职称</w:t>
      </w:r>
      <w:r>
        <w:rPr>
          <w:lang w:eastAsia="zh-CN"/>
        </w:rPr>
        <w:t xml:space="preserve"> </w:t>
      </w:r>
      <w:r>
        <w:rPr>
          <w:lang w:eastAsia="zh-CN"/>
        </w:rPr>
        <w:t>证书原件、复印件</w:t>
      </w:r>
      <w:r>
        <w:rPr>
          <w:spacing w:val="-1"/>
          <w:lang w:eastAsia="zh-CN"/>
        </w:rPr>
        <w:t>；</w:t>
      </w:r>
      <w:r>
        <w:rPr>
          <w:lang w:eastAsia="zh-CN"/>
        </w:rPr>
        <w:t>②</w:t>
      </w:r>
      <w:r>
        <w:rPr>
          <w:lang w:eastAsia="zh-CN"/>
        </w:rPr>
        <w:t>评审取得专业技术职务时的评审机构发文（红头文件）原件或复印件</w:t>
      </w:r>
      <w:r>
        <w:rPr>
          <w:spacing w:val="1"/>
          <w:lang w:eastAsia="zh-CN"/>
        </w:rPr>
        <w:t>；</w:t>
      </w:r>
      <w:r>
        <w:rPr>
          <w:lang w:eastAsia="zh-CN"/>
        </w:rPr>
        <w:t>③</w:t>
      </w:r>
      <w:r>
        <w:rPr>
          <w:lang w:eastAsia="zh-CN"/>
        </w:rPr>
        <w:t>评审专业技术职务时提交的申报表、</w:t>
      </w:r>
      <w:r>
        <w:rPr>
          <w:lang w:eastAsia="zh-CN"/>
        </w:rPr>
        <w:t xml:space="preserve"> </w:t>
      </w:r>
      <w:r>
        <w:rPr>
          <w:lang w:eastAsia="zh-CN"/>
        </w:rPr>
        <w:t>申报材料、辅评材料等一套材料的原件或复印件。</w:t>
      </w:r>
    </w:p>
    <w:p w14:paraId="03CBD8BB" w14:textId="77777777" w:rsidR="00DF27FD" w:rsidRDefault="00D253AE">
      <w:pPr>
        <w:pStyle w:val="a3"/>
        <w:spacing w:before="6"/>
        <w:ind w:left="1840"/>
        <w:rPr>
          <w:lang w:eastAsia="zh-CN"/>
        </w:rPr>
      </w:pPr>
      <w:r>
        <w:rPr>
          <w:lang w:eastAsia="zh-CN"/>
        </w:rPr>
        <w:t>若通过非评审渠道取得专业技术职务者，根据实际情况一事一议</w:t>
      </w:r>
      <w:r>
        <w:rPr>
          <w:spacing w:val="1"/>
          <w:lang w:eastAsia="zh-CN"/>
        </w:rPr>
        <w:t>。</w:t>
      </w:r>
      <w:r>
        <w:rPr>
          <w:lang w:eastAsia="zh-CN"/>
        </w:rPr>
        <w:t>两种渠道均由学院职称评审委员会进行最终认定。</w:t>
      </w:r>
    </w:p>
    <w:p w14:paraId="3E4628F1" w14:textId="77777777" w:rsidR="00DF27FD" w:rsidRDefault="00DF27FD">
      <w:pPr>
        <w:rPr>
          <w:lang w:eastAsia="zh-CN"/>
        </w:rPr>
        <w:sectPr w:rsidR="00DF27FD">
          <w:pgSz w:w="16839" w:h="11920" w:orient="landscape"/>
          <w:pgMar w:top="760" w:right="640" w:bottom="280" w:left="620" w:header="720" w:footer="720" w:gutter="0"/>
          <w:cols w:space="720"/>
        </w:sectPr>
      </w:pPr>
    </w:p>
    <w:p w14:paraId="1F0EE1CB" w14:textId="1B852763" w:rsidR="00DF27FD" w:rsidRDefault="00D253AE">
      <w:pPr>
        <w:tabs>
          <w:tab w:val="left" w:pos="917"/>
        </w:tabs>
        <w:spacing w:line="402" w:lineRule="exact"/>
        <w:ind w:left="112"/>
        <w:rPr>
          <w:rFonts w:ascii="宋体" w:eastAsia="宋体" w:hAnsi="宋体" w:cs="宋体"/>
          <w:sz w:val="31"/>
          <w:szCs w:val="31"/>
        </w:rPr>
      </w:pPr>
      <w:r>
        <w:rPr>
          <w:rFonts w:eastAsiaTheme="minorHAnsi"/>
        </w:rPr>
        <w:lastRenderedPageBreak/>
        <w:pict w14:anchorId="71E2D929">
          <v:shape id="_x0000_s1026" type="#_x0000_t75" style="position:absolute;left:0;text-align:left;margin-left:79.55pt;margin-top:69.05pt;width:683.65pt;height:465.4pt;z-index:-251634176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宋体" w:eastAsia="宋体" w:hAnsi="宋体" w:cs="宋体" w:hint="eastAsia"/>
          <w:w w:val="95"/>
          <w:sz w:val="28"/>
          <w:szCs w:val="28"/>
          <w:lang w:eastAsia="zh-CN"/>
        </w:rPr>
        <w:t>三</w:t>
      </w:r>
      <w:r>
        <w:rPr>
          <w:rFonts w:ascii="宋体" w:eastAsia="宋体" w:hAnsi="宋体" w:cs="宋体"/>
          <w:w w:val="95"/>
          <w:sz w:val="28"/>
          <w:szCs w:val="28"/>
        </w:rPr>
        <w:t>、</w:t>
      </w:r>
      <w:r>
        <w:rPr>
          <w:rFonts w:ascii="宋体" w:eastAsia="宋体" w:hAnsi="宋体" w:cs="宋体"/>
          <w:w w:val="95"/>
          <w:sz w:val="28"/>
          <w:szCs w:val="28"/>
        </w:rPr>
        <w:tab/>
      </w:r>
      <w:r>
        <w:rPr>
          <w:rFonts w:ascii="宋体" w:eastAsia="宋体" w:hAnsi="宋体" w:cs="宋体"/>
          <w:w w:val="95"/>
          <w:sz w:val="31"/>
          <w:szCs w:val="31"/>
        </w:rPr>
        <w:t>成都学院平面图</w:t>
      </w:r>
      <w:r>
        <w:rPr>
          <w:rFonts w:ascii="宋体" w:eastAsia="宋体" w:hAnsi="宋体" w:cs="宋体"/>
          <w:w w:val="95"/>
          <w:sz w:val="31"/>
          <w:szCs w:val="31"/>
        </w:rPr>
        <w:t>:</w:t>
      </w:r>
    </w:p>
    <w:p w14:paraId="18F8E30B" w14:textId="77777777" w:rsidR="00DF27FD" w:rsidRDefault="00DF27FD">
      <w:pPr>
        <w:spacing w:before="10" w:line="140" w:lineRule="exact"/>
        <w:rPr>
          <w:sz w:val="14"/>
          <w:szCs w:val="14"/>
        </w:rPr>
      </w:pPr>
    </w:p>
    <w:p w14:paraId="1F2ADC9D" w14:textId="77777777" w:rsidR="00DF27FD" w:rsidRDefault="00DF27FD">
      <w:pPr>
        <w:spacing w:line="200" w:lineRule="exact"/>
        <w:rPr>
          <w:sz w:val="20"/>
          <w:szCs w:val="20"/>
        </w:rPr>
      </w:pPr>
    </w:p>
    <w:p w14:paraId="4A5E2EAE" w14:textId="77777777" w:rsidR="00DF27FD" w:rsidRDefault="00DF27FD">
      <w:pPr>
        <w:spacing w:line="200" w:lineRule="exact"/>
        <w:rPr>
          <w:sz w:val="20"/>
          <w:szCs w:val="20"/>
        </w:rPr>
      </w:pPr>
    </w:p>
    <w:p w14:paraId="1A31932B" w14:textId="77777777" w:rsidR="00DF27FD" w:rsidRDefault="00D253AE">
      <w:pPr>
        <w:pStyle w:val="2"/>
        <w:spacing w:line="580" w:lineRule="exact"/>
        <w:ind w:left="7795"/>
        <w:rPr>
          <w:lang w:eastAsia="zh-CN"/>
        </w:rPr>
      </w:pPr>
      <w:r>
        <w:rPr>
          <w:color w:val="DF0516"/>
          <w:w w:val="105"/>
          <w:lang w:eastAsia="zh-CN"/>
        </w:rPr>
        <w:t>电子科技大学成都学院平面图</w:t>
      </w:r>
    </w:p>
    <w:p w14:paraId="7AE796CF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21917A43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650C27F1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1E652CF5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2A7A75C4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3704B3F9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4A793425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26D23D5E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6A891563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280679CB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1B7B19C5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C9856CF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B471E89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26B57B8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7B110189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674E0DA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CE2DD3E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064E6965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092E0151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44F527B0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0C006BAC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072F6C12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4151A610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745C7E23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1B600C1D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4EBD70B4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54997DC2" w14:textId="77777777" w:rsidR="00DF27FD" w:rsidRDefault="00DF27FD">
      <w:pPr>
        <w:spacing w:line="200" w:lineRule="exact"/>
        <w:rPr>
          <w:sz w:val="20"/>
          <w:szCs w:val="20"/>
          <w:lang w:eastAsia="zh-CN"/>
        </w:rPr>
      </w:pPr>
    </w:p>
    <w:p w14:paraId="1F7A698C" w14:textId="77777777" w:rsidR="00DF27FD" w:rsidRDefault="00DF27FD">
      <w:pPr>
        <w:spacing w:before="19" w:line="280" w:lineRule="exact"/>
        <w:rPr>
          <w:sz w:val="28"/>
          <w:szCs w:val="28"/>
          <w:lang w:eastAsia="zh-CN"/>
        </w:rPr>
      </w:pPr>
    </w:p>
    <w:p w14:paraId="362FF32E" w14:textId="77777777" w:rsidR="00DF27FD" w:rsidRDefault="00D253AE">
      <w:pPr>
        <w:spacing w:line="311" w:lineRule="exact"/>
        <w:ind w:left="298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color w:val="1F1F1F"/>
          <w:w w:val="50"/>
          <w:sz w:val="23"/>
          <w:szCs w:val="23"/>
        </w:rPr>
        <w:t>命</w:t>
      </w:r>
      <w:r>
        <w:rPr>
          <w:rFonts w:ascii="宋体" w:eastAsia="宋体" w:hAnsi="宋体" w:cs="宋体"/>
          <w:color w:val="1F1F1F"/>
          <w:spacing w:val="-22"/>
          <w:w w:val="50"/>
          <w:sz w:val="23"/>
          <w:szCs w:val="23"/>
        </w:rPr>
        <w:t>与</w:t>
      </w:r>
      <w:r>
        <w:rPr>
          <w:rFonts w:ascii="宋体" w:eastAsia="宋体" w:hAnsi="宋体" w:cs="宋体"/>
          <w:color w:val="464646"/>
          <w:w w:val="50"/>
          <w:sz w:val="23"/>
          <w:szCs w:val="23"/>
        </w:rPr>
        <w:t>〉</w:t>
      </w:r>
    </w:p>
    <w:p w14:paraId="689104F3" w14:textId="77777777" w:rsidR="00DF27FD" w:rsidRDefault="00D253AE">
      <w:pPr>
        <w:spacing w:line="171" w:lineRule="exact"/>
        <w:ind w:left="3227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color w:val="313131"/>
          <w:w w:val="110"/>
          <w:sz w:val="19"/>
          <w:szCs w:val="19"/>
        </w:rPr>
        <w:t>令</w:t>
      </w:r>
    </w:p>
    <w:sectPr w:rsidR="00DF27FD">
      <w:pgSz w:w="16839" w:h="11920" w:orient="landscape"/>
      <w:pgMar w:top="780" w:right="1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FD"/>
    <w:rsid w:val="00D253AE"/>
    <w:rsid w:val="00D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2A169C76"/>
  <w15:docId w15:val="{8A855656-1B50-431D-A1D5-49A576B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宋体" w:eastAsia="宋体" w:hAnsi="宋体"/>
      <w:sz w:val="100"/>
      <w:szCs w:val="10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宋体" w:eastAsia="宋体" w:hAnsi="宋体"/>
      <w:sz w:val="48"/>
      <w:szCs w:val="48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520"/>
    </w:pPr>
    <w:rPr>
      <w:rFonts w:ascii="仿宋" w:eastAsia="仿宋" w:hAnsi="仿宋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.rc114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zfgjj.chengdu.gov.cn/" TargetMode="External"/><Relationship Id="rId5" Type="http://schemas.openxmlformats.org/officeDocument/2006/relationships/hyperlink" Target="http://cdhrss.chengdu.gov.c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Zhwenwu</dc:creator>
  <cp:lastModifiedBy>Zhwenwu</cp:lastModifiedBy>
  <cp:revision>3</cp:revision>
  <dcterms:created xsi:type="dcterms:W3CDTF">2021-03-11T18:45:00Z</dcterms:created>
  <dcterms:modified xsi:type="dcterms:W3CDTF">2021-03-11T10:48:00Z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2021-03-11T00:00:00Z</vt:filetime>
  </property>
</Properties>
</file>